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0D" w:rsidRPr="002C0E0D" w:rsidRDefault="002C0E0D" w:rsidP="002C0E0D">
      <w:pPr>
        <w:autoSpaceDE w:val="0"/>
        <w:autoSpaceDN w:val="0"/>
      </w:pPr>
      <w:r>
        <w:rPr>
          <w:rFonts w:ascii="Arial-BoldMT" w:hAnsi="Arial-BoldMT"/>
          <w:b/>
          <w:bCs/>
        </w:rPr>
        <w:t>LÍMITES DE LA GARANTÍA</w:t>
      </w:r>
    </w:p>
    <w:p w:rsidR="002C0E0D" w:rsidRPr="002C0E0D" w:rsidRDefault="002C0E0D" w:rsidP="002C0E0D">
      <w:pPr>
        <w:autoSpaceDE w:val="0"/>
        <w:autoSpaceDN w:val="0"/>
      </w:pP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S.p.A.</w:t>
      </w:r>
      <w:proofErr w:type="spellEnd"/>
      <w:r>
        <w:rPr>
          <w:rFonts w:ascii="ArialMT" w:hAnsi="ArialMT"/>
        </w:rPr>
        <w:t xml:space="preserve"> (“Fabricante”) garantiza al utilizador originario que el Producto corresponde a las especificaciones indicadas por el mismo Fabricante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y</w:t>
      </w:r>
      <w:proofErr w:type="gramEnd"/>
      <w:r>
        <w:rPr>
          <w:rFonts w:ascii="ArialMT" w:hAnsi="ArialMT"/>
        </w:rPr>
        <w:t xml:space="preserve"> no presenta defectos en los materiales y en la elaboración (“Defecto cubierto por garantía”). Esta garantía tiene una duración limitada de dos (2)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años</w:t>
      </w:r>
      <w:proofErr w:type="gramEnd"/>
      <w:r>
        <w:rPr>
          <w:rFonts w:ascii="ArialMT" w:hAnsi="ArialMT"/>
        </w:rPr>
        <w:t xml:space="preserve"> a partir de la fecha de compra o del eventual periodo más largo previsto por la ley. Si se encontrase un Defecto cubierto por garantía, éste tiene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que</w:t>
      </w:r>
      <w:proofErr w:type="gramEnd"/>
      <w:r>
        <w:rPr>
          <w:rFonts w:ascii="ArialMT" w:hAnsi="ArialMT"/>
        </w:rPr>
        <w:t xml:space="preserve"> ser comunicado antes de pasados sesenta (60) días desde la detección y dentro de dos (2) años a partir de la fecha de compra, o dentro de los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eventuales</w:t>
      </w:r>
      <w:proofErr w:type="gramEnd"/>
      <w:r>
        <w:rPr>
          <w:rFonts w:ascii="ArialMT" w:hAnsi="ArialMT"/>
        </w:rPr>
        <w:t xml:space="preserve"> periodos más largos previstos por la ley. En caso de confirmarse la presencia de un Defecto cubierto por garantía, a indiscutible juicio del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Fabricante, el Producto será reparado o sustituido con un producto nuevo o revisado a fondo.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LOS PRESENTES LÍMITES DE GARANTÍA CONSTITUYEN LA ÚNICA GARANTÍA SUMINISTRADA PARA EL PRESENTE PRODUCTO Y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SUSTITUYEN CUALQUIER OTRA GARANTÍA TANTO VERBAL COMO ESCRITA. CUALQUIER GARANTÍA IMPLÍCITA, COMPRENDIDAS SIN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LIMITACIÓN, LAS GARANTÍAS DE COMERCIABILIDAD O IDONEIDAD PARA UN USO ESPECÍFICO, SERÁN LIMITADAS A LA DURACIÓN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DE LA PRESENTE GARANTÍA. EL FABRICANTE NO TENDRÁ NINGUNA RESPONSABILIDAD EN EL CASO DE DAÑOS ACCIDENTALES O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CONSECUENTES Y NO PODRÁ EN NINGÚN CASO SER CONSIDERADO RESPONSABLE POR NINGÚN DAÑO QUE SUPERE EL PRECIO DE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COMPRA QUE EL RECURRENTE HA PAGADO POR EL PRODUCTO.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Cualquier reclamo previsto por los presentes Límites de Garantía por un periodo de dos años, deberá ser presentado por escrito dentro de sesenta (60)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días</w:t>
      </w:r>
      <w:proofErr w:type="gramEnd"/>
      <w:r>
        <w:rPr>
          <w:rFonts w:ascii="ArialMT" w:hAnsi="ArialMT"/>
        </w:rPr>
        <w:t xml:space="preserve"> después de haber encontrado el presunto Defecto cubierto por garantía, además el Producto que se presume defectuoso, o las partes, deberán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 xml:space="preserve">ser expedidos a </w:t>
      </w: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S.p.A.</w:t>
      </w:r>
      <w:proofErr w:type="spellEnd"/>
      <w:r>
        <w:rPr>
          <w:rFonts w:ascii="ArialMT" w:hAnsi="ArialMT"/>
        </w:rPr>
        <w:t xml:space="preserve"> en la sede de </w:t>
      </w:r>
      <w:proofErr w:type="spellStart"/>
      <w:r>
        <w:rPr>
          <w:rFonts w:ascii="ArialMT" w:hAnsi="ArialMT"/>
        </w:rPr>
        <w:t>Via</w:t>
      </w:r>
      <w:proofErr w:type="spellEnd"/>
      <w:r>
        <w:rPr>
          <w:rFonts w:ascii="ArialMT" w:hAnsi="ArialMT"/>
        </w:rPr>
        <w:t xml:space="preserve"> </w:t>
      </w: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 25 – 24035 </w:t>
      </w:r>
      <w:proofErr w:type="spellStart"/>
      <w:r>
        <w:rPr>
          <w:rFonts w:ascii="ArialMT" w:hAnsi="ArialMT"/>
        </w:rPr>
        <w:t>Curno</w:t>
      </w:r>
      <w:proofErr w:type="spellEnd"/>
      <w:r>
        <w:rPr>
          <w:rFonts w:ascii="ArialMT" w:hAnsi="ArialMT"/>
        </w:rPr>
        <w:t xml:space="preserve"> (BG) - Italia, mediante la cadena distributiva y con los gastos a cargo del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expedidor</w:t>
      </w:r>
      <w:proofErr w:type="gramEnd"/>
      <w:r>
        <w:rPr>
          <w:rFonts w:ascii="ArialMT" w:hAnsi="ArialMT"/>
        </w:rPr>
        <w:t>, dentro de los dos años previstos por el periodo de garantía o del eventual periodo más largo previsto por la ley. Además, habrá que incluir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una</w:t>
      </w:r>
      <w:proofErr w:type="gramEnd"/>
      <w:r>
        <w:rPr>
          <w:rFonts w:ascii="ArialMT" w:hAnsi="ArialMT"/>
        </w:rPr>
        <w:t xml:space="preserve"> descripción del defecto encontrado en el Producto o en las partes devueltas, el recibo del utilizador originario que identifique tanto el producto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como</w:t>
      </w:r>
      <w:proofErr w:type="gramEnd"/>
      <w:r>
        <w:rPr>
          <w:rFonts w:ascii="ArialMT" w:hAnsi="ArialMT"/>
        </w:rPr>
        <w:t xml:space="preserve"> la fecha de compra (tanto comprado al por menor como vendido por un distribuidor como parte de la instalación del Producto).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Estos Límites de Garantía no se aplican: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- a ningún daño al producto causado, parcial o totalmente, por un uso incorrecto, accidente, incendio, corrosión química, uso distinto de aquél para el que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está</w:t>
      </w:r>
      <w:proofErr w:type="gramEnd"/>
      <w:r>
        <w:rPr>
          <w:rFonts w:ascii="ArialMT" w:hAnsi="ArialMT"/>
        </w:rPr>
        <w:t xml:space="preserve"> previsto, utilización ilícita, empleo en un modelo diferente del previsto, instalación equivocada, instalación contraria a lo indicado por el Fabricante,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o</w:t>
      </w:r>
      <w:proofErr w:type="gramEnd"/>
      <w:r>
        <w:rPr>
          <w:rFonts w:ascii="ArialMT" w:hAnsi="ArialMT"/>
        </w:rPr>
        <w:t xml:space="preserve"> falta de mantenimiento del Producto según lo prescrito por el Fabricante en las instrucciones facilitadas;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- reclamos conectados al confort, a la presencia de ruidos, vibraciones o escasa fluidez en la conducción.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Los presentes Límites de Garantía establecen la responsabilidad única del Fabricante aquí indicado y no pueden ser modificados de ninguna manera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por</w:t>
      </w:r>
      <w:proofErr w:type="gramEnd"/>
      <w:r>
        <w:rPr>
          <w:rFonts w:ascii="ArialMT" w:hAnsi="ArialMT"/>
        </w:rPr>
        <w:t xml:space="preserve"> el proveedor, distribuidor u otra parte.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 xml:space="preserve">El Producto se ha diseñado y realizado para el modelo y el uso específico indicado en el catálogo frenos </w:t>
      </w: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 y/o por los distribuidores de productos</w:t>
      </w:r>
    </w:p>
    <w:p w:rsidR="002C0E0D" w:rsidRPr="002C0E0D" w:rsidRDefault="002C0E0D" w:rsidP="002C0E0D">
      <w:pPr>
        <w:autoSpaceDE w:val="0"/>
        <w:autoSpaceDN w:val="0"/>
      </w:pP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, ambos disponibles en el sitio Internet de </w:t>
      </w:r>
      <w:proofErr w:type="spellStart"/>
      <w:r>
        <w:rPr>
          <w:rFonts w:ascii="ArialMT" w:hAnsi="ArialMT"/>
        </w:rPr>
        <w:t>Brembo</w:t>
      </w:r>
      <w:proofErr w:type="spellEnd"/>
      <w:r>
        <w:rPr>
          <w:rFonts w:ascii="ArialMT" w:hAnsi="ArialMT"/>
        </w:rPr>
        <w:t xml:space="preserve"> (</w:t>
      </w:r>
      <w:hyperlink r:id="rId4" w:history="1">
        <w:r>
          <w:rPr>
            <w:rStyle w:val="Hipervnculo"/>
            <w:rFonts w:ascii="ArialMT" w:hAnsi="ArialMT"/>
          </w:rPr>
          <w:t>www.brembo.com</w:t>
        </w:r>
      </w:hyperlink>
      <w:r>
        <w:rPr>
          <w:rFonts w:ascii="ArialMT" w:hAnsi="ArialMT"/>
        </w:rPr>
        <w:t>). El Producto tiene que usarse según las normativas vigentes en los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lastRenderedPageBreak/>
        <w:t>estados</w:t>
      </w:r>
      <w:proofErr w:type="gramEnd"/>
      <w:r>
        <w:rPr>
          <w:rFonts w:ascii="ArialMT" w:hAnsi="ArialMT"/>
        </w:rPr>
        <w:t xml:space="preserve"> y/o en los países donde se utiliza el vehículo sobre el que está instalado el Producto, incluidas pero sin limitarse a la observancia de las</w:t>
      </w:r>
    </w:p>
    <w:p w:rsidR="002C0E0D" w:rsidRPr="002C0E0D" w:rsidRDefault="002C0E0D" w:rsidP="002C0E0D">
      <w:pPr>
        <w:autoSpaceDE w:val="0"/>
        <w:autoSpaceDN w:val="0"/>
      </w:pPr>
      <w:proofErr w:type="gramStart"/>
      <w:r>
        <w:rPr>
          <w:rFonts w:ascii="ArialMT" w:hAnsi="ArialMT"/>
        </w:rPr>
        <w:t>normas</w:t>
      </w:r>
      <w:proofErr w:type="gramEnd"/>
      <w:r>
        <w:rPr>
          <w:rFonts w:ascii="ArialMT" w:hAnsi="ArialMT"/>
        </w:rPr>
        <w:t xml:space="preserve"> del Código de Circulación y previa obtención de cualquier autorización/homologación, permiso o licencia requeridos por el estado y/o el país. El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Fabricante no tendrá ninguna responsabilidad en caso de daños y reclamos si el uso del Producto no respeta las normativas y las leyes vigentes.</w:t>
      </w:r>
    </w:p>
    <w:p w:rsidR="002C0E0D" w:rsidRPr="002C0E0D" w:rsidRDefault="002C0E0D" w:rsidP="002C0E0D">
      <w:pPr>
        <w:autoSpaceDE w:val="0"/>
        <w:autoSpaceDN w:val="0"/>
      </w:pPr>
      <w:r>
        <w:rPr>
          <w:rFonts w:ascii="ArialMT" w:hAnsi="ArialMT"/>
        </w:rPr>
        <w:t>Estos Límites de Garantía serán regulados e interpretados y tendrán validez según la ley italiana.</w:t>
      </w:r>
    </w:p>
    <w:p w:rsidR="002C0E0D" w:rsidRPr="002C0E0D" w:rsidRDefault="002C0E0D" w:rsidP="002C0E0D">
      <w:r>
        <w:rPr>
          <w:color w:val="1F497D"/>
        </w:rPr>
        <w:t> </w:t>
      </w:r>
    </w:p>
    <w:p w:rsidR="002C0E0D" w:rsidRPr="002C0E0D" w:rsidRDefault="002C0E0D" w:rsidP="002C0E0D">
      <w:r>
        <w:rPr>
          <w:color w:val="1F497D"/>
        </w:rPr>
        <w:t> </w:t>
      </w:r>
    </w:p>
    <w:p w:rsidR="002C0E0D" w:rsidRPr="002C0E0D" w:rsidRDefault="002C0E0D" w:rsidP="002C0E0D">
      <w:r>
        <w:t> </w:t>
      </w:r>
    </w:p>
    <w:p w:rsidR="002C0E0D" w:rsidRPr="002C0E0D" w:rsidRDefault="002C0E0D" w:rsidP="002C0E0D">
      <w:pPr>
        <w:spacing w:line="0" w:lineRule="atLeast"/>
      </w:pPr>
      <w:r>
        <w:rPr>
          <w:rFonts w:ascii="Arial" w:hAnsi="Arial" w:cs="Arial"/>
          <w:b/>
          <w:bCs/>
          <w:color w:val="000000"/>
          <w:sz w:val="20"/>
          <w:szCs w:val="20"/>
        </w:rPr>
        <w:t>Ing. Arturo Saiz Calderón G.</w:t>
      </w:r>
    </w:p>
    <w:p w:rsidR="002C0E0D" w:rsidRPr="002C0E0D" w:rsidRDefault="002C0E0D" w:rsidP="002C0E0D">
      <w:pPr>
        <w:autoSpaceDE w:val="0"/>
        <w:autoSpaceDN w:val="0"/>
        <w:spacing w:line="0" w:lineRule="atLeast"/>
      </w:pPr>
      <w:r>
        <w:rPr>
          <w:rFonts w:ascii="Arial" w:hAnsi="Arial" w:cs="Arial"/>
          <w:color w:val="000000"/>
          <w:sz w:val="20"/>
          <w:szCs w:val="20"/>
        </w:rPr>
        <w:t>Gerente de Ventas</w:t>
      </w:r>
    </w:p>
    <w:p w:rsidR="002C0E0D" w:rsidRPr="002C0E0D" w:rsidRDefault="002C0E0D" w:rsidP="002C0E0D">
      <w:pPr>
        <w:autoSpaceDE w:val="0"/>
        <w:autoSpaceDN w:val="0"/>
        <w:spacing w:line="0" w:lineRule="atLeast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After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Market</w:t>
      </w:r>
      <w:proofErr w:type="spellEnd"/>
    </w:p>
    <w:p w:rsidR="002C0E0D" w:rsidRPr="002C0E0D" w:rsidRDefault="002C0E0D" w:rsidP="002C0E0D">
      <w:pPr>
        <w:spacing w:line="0" w:lineRule="atLeast"/>
      </w:pPr>
      <w:r>
        <w:rPr>
          <w:color w:val="000000"/>
          <w:sz w:val="20"/>
          <w:szCs w:val="20"/>
        </w:rPr>
        <w:t> </w:t>
      </w:r>
    </w:p>
    <w:p w:rsidR="002C0E0D" w:rsidRPr="002C0E0D" w:rsidRDefault="002C0E0D" w:rsidP="002C0E0D">
      <w:pPr>
        <w:spacing w:line="0" w:lineRule="atLeast"/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Brembo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México, S.A. de C.V.</w:t>
      </w:r>
    </w:p>
    <w:p w:rsidR="002C0E0D" w:rsidRPr="002C0E0D" w:rsidRDefault="002C0E0D" w:rsidP="002C0E0D">
      <w:pPr>
        <w:spacing w:line="0" w:lineRule="atLeast"/>
      </w:pPr>
      <w:r>
        <w:rPr>
          <w:rFonts w:ascii="Arial" w:hAnsi="Arial" w:cs="Arial"/>
          <w:color w:val="000000"/>
          <w:sz w:val="20"/>
          <w:szCs w:val="20"/>
        </w:rPr>
        <w:t xml:space="preserve">Corredor Industrial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Quetzalcoatl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Mz1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 y 2,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Texmelucan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Puebla</w:t>
      </w:r>
    </w:p>
    <w:p w:rsidR="002C0E0D" w:rsidRDefault="002C0E0D" w:rsidP="002C0E0D">
      <w:pPr>
        <w:spacing w:line="0" w:lineRule="atLeast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M+52 222 449 6548</w:t>
      </w:r>
    </w:p>
    <w:p w:rsidR="002C0E0D" w:rsidRDefault="002C0E0D" w:rsidP="002C0E0D">
      <w:pPr>
        <w:spacing w:line="0" w:lineRule="atLeast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 +52 248 291 9300 Ext. 101</w:t>
      </w:r>
    </w:p>
    <w:p w:rsidR="002C0E0D" w:rsidRDefault="002C0E0D" w:rsidP="002C0E0D">
      <w:pPr>
        <w:spacing w:line="0" w:lineRule="atLeast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F +52 248 291 9300 Ext. 122</w:t>
      </w:r>
    </w:p>
    <w:p w:rsidR="002C0E0D" w:rsidRDefault="002C0E0D" w:rsidP="002C0E0D">
      <w:pPr>
        <w:spacing w:line="0" w:lineRule="atLeast"/>
        <w:rPr>
          <w:lang w:val="en-US"/>
        </w:rPr>
      </w:pPr>
      <w:hyperlink r:id="rId5" w:history="1">
        <w:r>
          <w:rPr>
            <w:rStyle w:val="Hipervnculo"/>
            <w:rFonts w:ascii="Arial" w:hAnsi="Arial" w:cs="Arial"/>
            <w:sz w:val="20"/>
            <w:szCs w:val="20"/>
            <w:lang w:val="en-US"/>
          </w:rPr>
          <w:t>arturo_saizcalderon@mx.brembo.com</w:t>
        </w:r>
      </w:hyperlink>
    </w:p>
    <w:p w:rsidR="00701DCE" w:rsidRPr="002C0E0D" w:rsidRDefault="00701DCE">
      <w:pPr>
        <w:rPr>
          <w:lang w:val="en-US"/>
        </w:rPr>
      </w:pPr>
    </w:p>
    <w:sectPr w:rsidR="00701DCE" w:rsidRPr="002C0E0D" w:rsidSect="00701D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E0D"/>
    <w:rsid w:val="002C0E0D"/>
    <w:rsid w:val="00701DCE"/>
    <w:rsid w:val="0080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0D"/>
    <w:pPr>
      <w:spacing w:after="0" w:line="240" w:lineRule="auto"/>
    </w:pPr>
    <w:rPr>
      <w:rFonts w:ascii="Calibri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0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o_saizcalderon@mx.brembo.com" TargetMode="External"/><Relationship Id="rId4" Type="http://schemas.openxmlformats.org/officeDocument/2006/relationships/hyperlink" Target="http://www.bremb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 Todo De Mexico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jesus_diaz</dc:creator>
  <cp:lastModifiedBy>jesus_diaz</cp:lastModifiedBy>
  <cp:revision>1</cp:revision>
  <dcterms:created xsi:type="dcterms:W3CDTF">2016-08-10T16:04:00Z</dcterms:created>
  <dcterms:modified xsi:type="dcterms:W3CDTF">2016-08-10T17:35:00Z</dcterms:modified>
</cp:coreProperties>
</file>